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                                                                        Nr-8 Proiect didactic de scurtă durată</w:t>
      </w:r>
    </w:p>
    <w:p w14:paraId="0000000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la disciplina Educație fizică</w:t>
      </w:r>
    </w:p>
    <w:p w14:paraId="0000000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Clasa:V-a </w:t>
      </w:r>
    </w:p>
    <w:p w14:paraId="0000000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3401"/>
        </w:tabs>
        <w:spacing w:before="0" w:after="0" w:line="276" w:lineRule="auto"/>
        <w:ind w:left="278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Data desfășurării: </w:t>
      </w:r>
    </w:p>
    <w:p w14:paraId="0000000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3401"/>
        </w:tabs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Profesor: </w:t>
      </w:r>
    </w:p>
    <w:p w14:paraId="0000000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Tipul lecției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: De formare a priceperilor şi deprinderilor motrice.</w:t>
      </w:r>
    </w:p>
    <w:p w14:paraId="0000000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Modulul Nr.3: Volei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.</w:t>
      </w:r>
    </w:p>
    <w:p w14:paraId="00000008">
      <w:pPr>
        <w:shd w:val="clear" w:fill="FFFFFF"/>
        <w:spacing w:after="0" w:line="240" w:lineRule="auto"/>
        <w:ind w:firstLine="240" w:firstLineChars="1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>Subiectul lecției: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1.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Serviciul de jos, din față tehnica execuției</w:t>
      </w:r>
    </w:p>
    <w:p w14:paraId="00000009">
      <w:pPr>
        <w:shd w:val="clear" w:fill="FFFFFF"/>
        <w:spacing w:after="0" w:line="240" w:lineRule="auto"/>
        <w:rPr>
          <w:rFonts w:ascii="Times New Roman" w:hAnsi="Times New Roman" w:eastAsia="Times New Roman" w:cs="Times New Roman"/>
          <w:color w:val="242021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     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2. Beneficiile practicării jocului de volei.</w:t>
      </w:r>
    </w:p>
    <w:p w14:paraId="0000000A">
      <w:pPr>
        <w:spacing w:after="0"/>
        <w:ind w:left="284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Unități de competență: </w:t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  <w:rtl w:val="0"/>
        </w:rPr>
        <w:t xml:space="preserve">Nivelul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A1 </w:t>
      </w:r>
    </w:p>
    <w:p w14:paraId="0000000B">
      <w:pPr>
        <w:spacing w:after="0"/>
        <w:ind w:left="284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3.1. Identificarea beneficiilor practicării jocului de volei din perspectiva dezvoltării fizice armonioase.</w:t>
      </w:r>
    </w:p>
    <w:p w14:paraId="0000000C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    3.2. Acceptarea regulilor de securitate și normelor de igienă în cadrul practicării jocului de volei. </w:t>
      </w:r>
    </w:p>
    <w:p w14:paraId="0000000D">
      <w:pPr>
        <w:spacing w:after="0"/>
        <w:ind w:left="284" w:firstLine="0"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3.3. Reproducerea comentată a mișcărilor locomotorii specifice jocului de volei.</w:t>
      </w:r>
      <w:r>
        <w:rPr>
          <w:rtl w:val="0"/>
        </w:rPr>
        <w:t xml:space="preserve"> </w:t>
      </w:r>
    </w:p>
    <w:p w14:paraId="0000000E">
      <w:pPr>
        <w:spacing w:after="0"/>
        <w:ind w:left="284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3.4. Coordonarea abilităților intelectuale, psihomotrice și comportamentale în procesul aplicării mijloacelor din volei.</w:t>
      </w:r>
    </w:p>
    <w:p w14:paraId="0000000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Obiectivele lecției: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la sfârșit de lecție elevul va fi capabil: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  <w:rtl w:val="0"/>
        </w:rPr>
        <w:t xml:space="preserve"> </w:t>
      </w:r>
    </w:p>
    <w:p w14:paraId="0000001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425"/>
        </w:tabs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O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</w:rPr>
        <w:t>1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: Să descrie beneficiile practicării jocului de volei, și mișcările precise necesare.</w:t>
      </w:r>
    </w:p>
    <w:p w14:paraId="00000011">
      <w:pPr>
        <w:shd w:val="clear" w:fill="FFFFFF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   O</w:t>
      </w:r>
      <w:r>
        <w:rPr>
          <w:rFonts w:ascii="Times New Roman" w:hAnsi="Times New Roman" w:eastAsia="Times New Roman" w:cs="Times New Roman"/>
          <w:sz w:val="24"/>
          <w:szCs w:val="24"/>
          <w:vertAlign w:val="subscript"/>
          <w:rtl w:val="0"/>
        </w:rPr>
        <w:t xml:space="preserve">2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: Să memoreze serviciul de jos, din față în țintă și beneficiile practicării în joc.</w:t>
      </w:r>
    </w:p>
    <w:p w14:paraId="0000001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425"/>
        </w:tabs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O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</w:rPr>
        <w:t>3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: Să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efectueze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corect preluarea mingii din serviciu de jos din față în țintă 30 sec.</w:t>
      </w:r>
    </w:p>
    <w:p w14:paraId="00000013">
      <w:pPr>
        <w:tabs>
          <w:tab w:val="left" w:pos="425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   O</w:t>
      </w:r>
      <w:r>
        <w:rPr>
          <w:rFonts w:ascii="Times New Roman" w:hAnsi="Times New Roman" w:eastAsia="Times New Roman" w:cs="Times New Roman"/>
          <w:sz w:val="24"/>
          <w:szCs w:val="24"/>
          <w:vertAlign w:val="subscript"/>
          <w:rtl w:val="0"/>
        </w:rPr>
        <w:t>4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: Să execute  exerciții pentru coordonarea mișcării în timpu serviciului de jos din față</w:t>
      </w:r>
    </w:p>
    <w:p w14:paraId="00000014">
      <w:pPr>
        <w:tabs>
          <w:tab w:val="left" w:pos="425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   O</w:t>
      </w:r>
      <w:r>
        <w:rPr>
          <w:rFonts w:ascii="Times New Roman" w:hAnsi="Times New Roman" w:eastAsia="Times New Roman" w:cs="Times New Roman"/>
          <w:sz w:val="24"/>
          <w:szCs w:val="24"/>
          <w:vertAlign w:val="subscript"/>
          <w:rtl w:val="0"/>
        </w:rPr>
        <w:t xml:space="preserve">5: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Să demonstreze viteza de reacție la serviciul de jos din față tehnica execuției eficient cu colegii.</w:t>
      </w:r>
    </w:p>
    <w:p w14:paraId="0000001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  <w:rtl w:val="0"/>
        </w:rPr>
        <w:t>Strategii didactice:</w:t>
      </w:r>
    </w:p>
    <w:p w14:paraId="00000016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Forme de organizare : frontal, individual, în perechi, în grup.</w:t>
      </w:r>
    </w:p>
    <w:p w14:paraId="00000017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Metode și procedee: explicația, demonstrația, indicația, metoda învățării separate, exersare.</w:t>
      </w:r>
    </w:p>
    <w:p w14:paraId="00000018">
      <w:pPr>
        <w:shd w:val="clear" w:fill="FFFFFF"/>
        <w:tabs>
          <w:tab w:val="left" w:pos="851"/>
        </w:tabs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    c      Mijloace  didactice: : fișe didactice, imagini video, TIC, inventar și utilaj sportiv. </w:t>
      </w:r>
    </w:p>
    <w:p w14:paraId="00000019">
      <w:pPr>
        <w:shd w:val="clear" w:fill="FFFFFF"/>
        <w:tabs>
          <w:tab w:val="left" w:pos="851"/>
        </w:tabs>
        <w:spacing w:after="0"/>
        <w:rPr>
          <w:rFonts w:ascii="Times New Roman" w:hAnsi="Times New Roman" w:eastAsia="Times New Roman" w:cs="Times New Roman"/>
          <w:b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rtl w:val="0"/>
        </w:rPr>
        <w:t xml:space="preserve">    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u w:val="single"/>
          <w:rtl w:val="0"/>
        </w:rPr>
        <w:t>Bibliografie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rtl w:val="0"/>
        </w:rPr>
        <w:t>:</w:t>
      </w:r>
    </w:p>
    <w:p w14:paraId="0000001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*Curriculum la disciplina Educație fizică, clasele V - IX. Chișinău: MECC, 2019,</w:t>
      </w:r>
    </w:p>
    <w:p w14:paraId="0000001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*Ghidul de implementare a curriculumului la disciplina Educație fizică, clasele V - IX. Chișinău: MECC, 2019.                                               </w:t>
      </w:r>
    </w:p>
    <w:p w14:paraId="0000001C">
      <w:pPr>
        <w:shd w:val="clear" w:fill="FFFFFF"/>
        <w:tabs>
          <w:tab w:val="left" w:pos="10632"/>
        </w:tabs>
        <w:spacing w:after="0"/>
        <w:ind w:left="284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*,,Volei noțiuni de bază ,Dragan A, București 2000 România de Mâine.</w:t>
      </w:r>
    </w:p>
    <w:p w14:paraId="0000001D">
      <w:pPr>
        <w:shd w:val="clear" w:fill="FFFFFF"/>
        <w:tabs>
          <w:tab w:val="left" w:pos="10632"/>
        </w:tabs>
        <w:spacing w:after="0"/>
        <w:ind w:left="284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*,,Volei Bazele teoriei metodice. Federația română de volei București 2005.</w:t>
      </w:r>
    </w:p>
    <w:p w14:paraId="0000001E">
      <w:pPr>
        <w:shd w:val="clear" w:fill="FFFFFF"/>
        <w:tabs>
          <w:tab w:val="left" w:pos="10632"/>
        </w:tabs>
        <w:spacing w:after="0"/>
        <w:ind w:left="284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*1500 exerciții pentru un antrenament în circuit, teoria și metodologia unui antrenament sportiv CNPFA București 2001</w:t>
      </w:r>
    </w:p>
    <w:tbl>
      <w:tblPr>
        <w:tblStyle w:val="21"/>
        <w:tblpPr w:leftFromText="180" w:rightFromText="180" w:vertAnchor="text" w:tblpXSpec="left" w:tblpY="0"/>
        <w:tblW w:w="14992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163"/>
        <w:gridCol w:w="73"/>
        <w:gridCol w:w="4407"/>
        <w:gridCol w:w="281"/>
        <w:gridCol w:w="850"/>
        <w:gridCol w:w="3632"/>
        <w:gridCol w:w="1695"/>
        <w:gridCol w:w="1539"/>
        <w:gridCol w:w="1781"/>
      </w:tblGrid>
      <w:tr w14:paraId="5D745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gridSpan w:val="2"/>
            <w:vMerge w:val="restart"/>
          </w:tcPr>
          <w:p w14:paraId="000000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-108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Ob.</w:t>
            </w:r>
          </w:p>
          <w:p w14:paraId="0000002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Op</w:t>
            </w:r>
          </w:p>
        </w:tc>
        <w:tc>
          <w:tcPr>
            <w:gridSpan w:val="2"/>
            <w:vMerge w:val="restart"/>
          </w:tcPr>
          <w:p w14:paraId="00000022">
            <w:pPr>
              <w:spacing w:after="0" w:line="240" w:lineRule="auto"/>
              <w:ind w:left="1026" w:hanging="4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Conținuturi didactice</w:t>
            </w:r>
          </w:p>
        </w:tc>
        <w:tc>
          <w:tcPr>
            <w:gridSpan w:val="2"/>
            <w:vMerge w:val="restart"/>
          </w:tcPr>
          <w:p w14:paraId="0000002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Dozarea efortului fizic</w:t>
            </w:r>
          </w:p>
        </w:tc>
        <w:tc>
          <w:tcPr>
            <w:gridSpan w:val="3"/>
          </w:tcPr>
          <w:p w14:paraId="000000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                            Strategii didactice</w:t>
            </w:r>
          </w:p>
        </w:tc>
        <w:tc>
          <w:tcPr>
            <w:vMerge w:val="restart"/>
          </w:tcPr>
          <w:p w14:paraId="0000002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Recomandări/ indicații metodice</w:t>
            </w:r>
          </w:p>
        </w:tc>
      </w:tr>
      <w:tr w14:paraId="1BAE3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gridSpan w:val="2"/>
            <w:vMerge w:val="continue"/>
          </w:tcPr>
          <w:p w14:paraId="000000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gridSpan w:val="2"/>
            <w:vMerge w:val="continue"/>
          </w:tcPr>
          <w:p w14:paraId="0000002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gridSpan w:val="2"/>
            <w:vMerge w:val="continue"/>
          </w:tcPr>
          <w:p w14:paraId="0000002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Forme de organizare</w:t>
            </w:r>
          </w:p>
        </w:tc>
        <w:tc>
          <w:p w14:paraId="000000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-392" w:right="0" w:firstLine="392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Metode,  </w:t>
            </w:r>
          </w:p>
          <w:p w14:paraId="000000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-392" w:right="0" w:firstLine="392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procedee</w:t>
            </w:r>
          </w:p>
        </w:tc>
        <w:tc>
          <w:p w14:paraId="000000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Mijloace</w:t>
            </w:r>
          </w:p>
        </w:tc>
        <w:tc>
          <w:tcPr>
            <w:vMerge w:val="continue"/>
          </w:tcPr>
          <w:p w14:paraId="000000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 w14:paraId="72DB8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gridSpan w:val="10"/>
          </w:tcPr>
          <w:p w14:paraId="00000035">
            <w:pPr>
              <w:spacing w:after="0" w:line="240" w:lineRule="auto"/>
              <w:ind w:left="2863" w:firstLine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                                        Partea pregătitoare (10-12 minute)</w:t>
            </w:r>
          </w:p>
        </w:tc>
      </w:tr>
      <w:tr w14:paraId="74E773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vMerge w:val="restart"/>
            <w:tcBorders>
              <w:right w:val="nil"/>
            </w:tcBorders>
          </w:tcPr>
          <w:p w14:paraId="0000003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O1</w:t>
            </w:r>
          </w:p>
          <w:p w14:paraId="0000004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O2</w:t>
            </w:r>
          </w:p>
        </w:tc>
        <w:tc>
          <w:tcPr>
            <w:gridSpan w:val="2"/>
            <w:vMerge w:val="restart"/>
            <w:tcBorders>
              <w:left w:val="nil"/>
            </w:tcBorders>
          </w:tcPr>
          <w:p w14:paraId="0000004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68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Alinier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ea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, verificarea ţinutei şi a stării de sănătate,prezenţa.                                   </w:t>
            </w:r>
          </w:p>
          <w:p w14:paraId="000000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1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Exerciții la atenție  </w:t>
            </w:r>
          </w:p>
          <w:p w14:paraId="000000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1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Prezentare scurtă  înv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/>
              </w:rPr>
              <w:t>a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ț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/>
              </w:rPr>
              <w:t>ă</w:t>
            </w:r>
            <w:bookmarkStart w:id="1" w:name="_GoBack"/>
            <w:bookmarkEnd w:id="1"/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tehnici corecte  a serviciul de jos, din față.</w:t>
            </w:r>
          </w:p>
        </w:tc>
        <w:tc>
          <w:tcPr>
            <w:gridSpan w:val="2"/>
          </w:tcPr>
          <w:p w14:paraId="000000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5min</w:t>
            </w:r>
          </w:p>
        </w:tc>
        <w:tc>
          <w:p w14:paraId="000000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68" w:lineRule="auto"/>
              <w:ind w:left="720" w:right="0" w:hanging="72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Frontal</w:t>
            </w:r>
          </w:p>
          <w:p w14:paraId="000000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68" w:lineRule="auto"/>
              <w:ind w:left="720" w:right="0" w:hanging="72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- în linie pe un singur rând </w:t>
            </w:r>
            <w:sdt>
              <w:sdtPr>
                <w:tag w:val="goog_rdk_0"/>
                <w:id w:val="147477609"/>
              </w:sdtPr>
              <w:sdtContent>
                <w:r>
                  <w:rPr>
                    <w:rFonts w:ascii="Arial Unicode MS" w:hAnsi="Arial Unicode MS" w:eastAsia="Arial Unicode MS" w:cs="Arial Unicode MS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val="clear" w:fill="auto"/>
                    <w:vertAlign w:val="baseline"/>
                    <w:rtl w:val="0"/>
                  </w:rPr>
                  <w:t>☺☺☺☺☺☺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                                                                             </w:t>
            </w:r>
          </w:p>
          <w:p w14:paraId="000000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0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Aranjarea</w:t>
            </w:r>
          </w:p>
          <w:p w14:paraId="000000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Comunicare Demonstrație</w:t>
            </w:r>
          </w:p>
          <w:p w14:paraId="000000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05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Pe o linie dreaptă</w:t>
            </w:r>
          </w:p>
          <w:p w14:paraId="0000005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Comenzile la dreapa/stangă</w:t>
            </w:r>
          </w:p>
        </w:tc>
        <w:tc>
          <w:p w14:paraId="000000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Ținuta corectă,</w:t>
            </w:r>
          </w:p>
          <w:p w14:paraId="0000005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Memorare</w:t>
            </w:r>
          </w:p>
          <w:p w14:paraId="0000005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Îndeplinirea corectă</w:t>
            </w:r>
          </w:p>
        </w:tc>
      </w:tr>
      <w:tr w14:paraId="42B74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vMerge w:val="continue"/>
            <w:tcBorders>
              <w:right w:val="nil"/>
            </w:tcBorders>
          </w:tcPr>
          <w:p w14:paraId="000000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gridSpan w:val="2"/>
            <w:vMerge w:val="continue"/>
            <w:tcBorders>
              <w:left w:val="nil"/>
            </w:tcBorders>
          </w:tcPr>
          <w:p w14:paraId="000000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gridSpan w:val="2"/>
          </w:tcPr>
          <w:p w14:paraId="00000060">
            <w:pPr>
              <w:tabs>
                <w:tab w:val="left" w:pos="4340"/>
              </w:tabs>
              <w:spacing w:after="0" w:line="240" w:lineRule="auto"/>
              <w:ind w:left="34" w:firstLine="0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Exerciții de mers și alergări:</w:t>
            </w:r>
          </w:p>
          <w:p w14:paraId="00000061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Mers pe vârfuri, brațele sus;</w:t>
            </w:r>
          </w:p>
          <w:p w14:paraId="00000062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Mers pe călcâi, brațele la spate;Mers rulat;</w:t>
            </w:r>
          </w:p>
          <w:p w14:paraId="0000006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Alergare cu joc de glezne;</w:t>
            </w:r>
          </w:p>
          <w:p w14:paraId="00000064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Alergare obișnuită;</w:t>
            </w:r>
          </w:p>
          <w:p w14:paraId="00000065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-Alergare șerpuită cu schimbarea direcției</w:t>
            </w:r>
          </w:p>
          <w:p w14:paraId="00000066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-Alergare cu pendularea gambei înapoi</w:t>
            </w:r>
          </w:p>
          <w:p w14:paraId="00000067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Alergare cu picioarele drepte înainte;</w:t>
            </w:r>
          </w:p>
          <w:p w14:paraId="0000006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Alergare cu pași alăturați;</w:t>
            </w:r>
          </w:p>
          <w:p w14:paraId="00000069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Alergare cu pași încrucișați;</w:t>
            </w:r>
          </w:p>
          <w:p w14:paraId="0000006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Alergare cu spatele;</w:t>
            </w:r>
          </w:p>
          <w:p w14:paraId="0000006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Exerciții de dezvoltare fizică generală în mers</w:t>
            </w:r>
          </w:p>
          <w:p w14:paraId="0000006C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Rotirea brațelor înainte înapoi;</w:t>
            </w:r>
          </w:p>
          <w:p w14:paraId="0000006D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Mișcări de brațe lateral, sus, înainte, jos;</w:t>
            </w:r>
          </w:p>
          <w:p w14:paraId="0000006E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Brațele înaintea pieptului, coordonări de brațe;</w:t>
            </w:r>
          </w:p>
          <w:p w14:paraId="0000006F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Înclinarea trunchiului spre stânga, dreapta Aplecări spre piciorul drept, stâng;</w:t>
            </w:r>
          </w:p>
          <w:p w14:paraId="00000070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Ridicarea piciorului drept/stâng sus:</w:t>
            </w:r>
          </w:p>
          <w:p w14:paraId="00000071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Fandări înainte, brațele lateral;</w:t>
            </w:r>
          </w:p>
          <w:p w14:paraId="00000072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Regruparea din coaloană câte unul în coloană câte 4</w:t>
            </w:r>
          </w:p>
        </w:tc>
        <w:tc>
          <w:p w14:paraId="000000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3min</w:t>
            </w:r>
          </w:p>
          <w:p w14:paraId="000000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75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</w:t>
            </w:r>
          </w:p>
          <w:p w14:paraId="000000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4min</w:t>
            </w:r>
          </w:p>
        </w:tc>
        <w:tc>
          <w:p w14:paraId="000000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Coloană</w:t>
            </w:r>
          </w:p>
          <w:p w14:paraId="000000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  <w:drawing>
                <wp:inline distT="0" distB="0" distL="0" distR="0">
                  <wp:extent cx="2324100" cy="754380"/>
                  <wp:effectExtent l="0" t="0" r="0" b="0"/>
                  <wp:docPr id="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605" cy="754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000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Individual.</w:t>
            </w:r>
          </w:p>
          <w:p w14:paraId="000000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  <w:drawing>
                <wp:inline distT="0" distB="0" distL="0" distR="0">
                  <wp:extent cx="2095500" cy="853440"/>
                  <wp:effectExtent l="0" t="0" r="0" b="0"/>
                  <wp:docPr id="1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853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0008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Explicația</w:t>
            </w:r>
          </w:p>
          <w:p w14:paraId="000000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Demonstrația</w:t>
            </w:r>
          </w:p>
          <w:p w14:paraId="000000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Explicația</w:t>
            </w:r>
          </w:p>
          <w:p w14:paraId="000000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Demonstrația </w:t>
            </w:r>
          </w:p>
          <w:p w14:paraId="000000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Spațiu marcat</w:t>
            </w:r>
          </w:p>
          <w:p w14:paraId="0000009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9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A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Conuri</w:t>
            </w:r>
          </w:p>
        </w:tc>
        <w:tc>
          <w:p w14:paraId="000000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În coloană câte unul;</w:t>
            </w:r>
          </w:p>
          <w:p w14:paraId="000000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Spatele drept ;</w:t>
            </w:r>
          </w:p>
          <w:p w14:paraId="000000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Coordonăm mișcările de brațe cu cele de picioare;</w:t>
            </w:r>
          </w:p>
          <w:p w14:paraId="000000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Îndeplinim mișcările corect;</w:t>
            </w:r>
          </w:p>
          <w:p w14:paraId="000000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Păstrăm distanța de 2 metri</w:t>
            </w:r>
          </w:p>
          <w:p w14:paraId="000000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Rotirea brațelor deplin;</w:t>
            </w:r>
          </w:p>
          <w:p w14:paraId="000000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Spatele drept;</w:t>
            </w:r>
          </w:p>
          <w:p w14:paraId="000000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Nu aplecăm corpul înainte în timpul executării aplecărilor;</w:t>
            </w:r>
          </w:p>
          <w:p w14:paraId="000000A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Ridicarea piciorului drept înainte</w:t>
            </w:r>
          </w:p>
        </w:tc>
      </w:tr>
      <w:tr w14:paraId="60D20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</w:trPr>
        <w:tc>
          <w:tcPr>
            <w:gridSpan w:val="10"/>
          </w:tcPr>
          <w:p w14:paraId="000000A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                                                                                            Partea de bază (28-30 min)</w:t>
            </w:r>
          </w:p>
        </w:tc>
      </w:tr>
      <w:tr w14:paraId="65C0C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gridSpan w:val="3"/>
            <w:vMerge w:val="restart"/>
          </w:tcPr>
          <w:p w14:paraId="000000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O1</w:t>
            </w:r>
          </w:p>
          <w:p w14:paraId="000000B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O3</w:t>
            </w:r>
          </w:p>
          <w:p w14:paraId="000000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O4</w:t>
            </w:r>
          </w:p>
          <w:p w14:paraId="000000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O5</w:t>
            </w:r>
          </w:p>
          <w:p w14:paraId="000000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0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Tema: Serviciul</w:t>
            </w: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de jos din față în țintă.</w:t>
            </w:r>
          </w:p>
          <w:p w14:paraId="000000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Serviciul de jos din faţă este utilizat mai ales de începători.</w:t>
            </w:r>
          </w:p>
          <w:p w14:paraId="000000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Pentru executarea lui, jucătorul este orientat cu faţa şi linia umerilor paralel cu fileul. </w:t>
            </w:r>
          </w:p>
          <w:p w14:paraId="000000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Piciorul opus braţului de lovire este plasat înainte, articulaţiile gleznă, genunchi sunt uşor flexate. Trunchiul este uşor înclinat,</w:t>
            </w:r>
          </w:p>
          <w:p w14:paraId="000000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mingea este ţinută la nivelul centurii cu mâna opusă celei de lovire.</w:t>
            </w:r>
          </w:p>
          <w:p w14:paraId="000000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Se aruncă mingea uşor în sus, iar cu brațul îndemânatic care a efectuat un scurt elan se loveşte mingea în porţiunea ei inferioară concomitent cu trecerea greutăţii corpului pe piciorul din faţă.</w:t>
            </w:r>
          </w:p>
          <w:p w14:paraId="000000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În momentul lovirii, palma este încordată şi cu degetele apropiate.</w:t>
            </w:r>
          </w:p>
          <w:p w14:paraId="000000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.Câte doi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față-n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față, serviciul peste plasă de la 3-4m de la linia de centru.Se va insista ca jucătorul să execute cu palma blocată.</w:t>
            </w:r>
          </w:p>
          <w:p w14:paraId="000000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-Serviciul de jos din din față peste fileu executând de la linia de fund</w:t>
            </w:r>
          </w:p>
          <w:p w14:paraId="000000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Serviciul de jos din față.</w:t>
            </w:r>
          </w:p>
          <w:p w14:paraId="000000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Jucătorul este orientat cu faţa şi linia umerilor paralel cu fileul, fiecare elev emită exercițiul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fără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minge.</w:t>
            </w:r>
          </w:p>
          <w:p w14:paraId="000000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Jocul „Conuri, ghinzi și nuci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”Jucătorii formează un cerc, în coloană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câte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trei. Un jucător se află în mijlocul cercului și la anunțarea cu voce tare a unei din trei denumiri (conuri, ghinzi și nuci ) elevii vizați trebuie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să-și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schimbe locul, iar jucătorul din centru se străduie să-și ocupe un loc. Elevul rămas fără loc, trece în centru</w:t>
            </w:r>
          </w:p>
          <w:p w14:paraId="000000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gridSpan w:val="2"/>
          </w:tcPr>
          <w:p w14:paraId="000000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10min</w:t>
            </w:r>
          </w:p>
          <w:p w14:paraId="000000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10min</w:t>
            </w:r>
          </w:p>
        </w:tc>
        <w:tc>
          <w:p w14:paraId="000000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  <w:drawing>
                <wp:inline distT="0" distB="0" distL="0" distR="0">
                  <wp:extent cx="2181860" cy="1273175"/>
                  <wp:effectExtent l="0" t="0" r="0" b="0"/>
                  <wp:docPr id="9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6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881" cy="1273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000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Individual </w:t>
            </w:r>
          </w:p>
          <w:p w14:paraId="000000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  <w:drawing>
                <wp:inline distT="0" distB="0" distL="0" distR="0">
                  <wp:extent cx="2067560" cy="848360"/>
                  <wp:effectExtent l="0" t="0" r="0" b="0"/>
                  <wp:docPr id="1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106" cy="848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000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  <w:drawing>
                <wp:inline distT="0" distB="0" distL="0" distR="0">
                  <wp:extent cx="1678940" cy="908050"/>
                  <wp:effectExtent l="0" t="0" r="0" b="0"/>
                  <wp:docPr id="11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5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256" cy="90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000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bookmarkStart w:id="0" w:name="_heading=h.gjdgxs" w:colFirst="0" w:colLast="0"/>
            <w:bookmarkEnd w:id="0"/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drawing>
                <wp:inline distT="0" distB="0" distL="0" distR="0">
                  <wp:extent cx="1633855" cy="1012190"/>
                  <wp:effectExtent l="0" t="0" r="0" b="0"/>
                  <wp:docPr id="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1012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</w:t>
            </w:r>
          </w:p>
        </w:tc>
        <w:tc>
          <w:p w14:paraId="000000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Explicația</w:t>
            </w:r>
          </w:p>
          <w:p w14:paraId="000001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Demonstrația </w:t>
            </w:r>
          </w:p>
          <w:p w14:paraId="000001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Explicația</w:t>
            </w:r>
          </w:p>
          <w:p w14:paraId="000001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Demonstrația</w:t>
            </w:r>
          </w:p>
          <w:p w14:paraId="000001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Circuit</w:t>
            </w:r>
          </w:p>
          <w:p w14:paraId="000001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Explicația</w:t>
            </w:r>
          </w:p>
          <w:p w14:paraId="000001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Demonstrația</w:t>
            </w:r>
          </w:p>
          <w:p w14:paraId="000001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0D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Să execute corect preluarea mingii de jos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  <w:p w14:paraId="000001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picioarele pe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aceeași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linie</w:t>
            </w:r>
          </w:p>
          <w:p w14:paraId="000001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17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Să execute corect preluarea mingii de jos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  <w:p w14:paraId="000001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picioarele pe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aceeași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linie</w:t>
            </w:r>
          </w:p>
        </w:tc>
        <w:tc>
          <w:p w14:paraId="000001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Conuri</w:t>
            </w:r>
          </w:p>
          <w:p w14:paraId="000001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Mingi</w:t>
            </w:r>
          </w:p>
          <w:p w14:paraId="000001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Fluer</w:t>
            </w:r>
          </w:p>
          <w:p w14:paraId="000001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Mingi de volei</w:t>
            </w:r>
          </w:p>
          <w:p w14:paraId="000001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- Conuri sau jaloane pentru delimitarea spațiului de joc</w:t>
            </w:r>
          </w:p>
          <w:p w14:paraId="000001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Conuri sau jaloane pentru delimitarea spațiului de joc</w:t>
            </w:r>
          </w:p>
          <w:p w14:paraId="000001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Menținem distanța;</w:t>
            </w:r>
          </w:p>
          <w:p w14:paraId="000001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37">
            <w:pPr>
              <w:ind w:right="-1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Depunem efort maxim în executare;</w:t>
            </w:r>
          </w:p>
          <w:p w14:paraId="00000138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Să execute corect preluarea mingii de jos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  <w:p w14:paraId="00000139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picioarele pe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aceeași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linie, orientarea corpului pe alte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direcții decât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cea a fileului, ţinerea mingii prea aproape sau prea departe de corp;</w:t>
            </w:r>
          </w:p>
          <w:p w14:paraId="0000013A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0000013B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0000013C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0000013D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0000013E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0000013F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00000140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00000141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00000142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00000143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00000144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Să execute corect preluarea mingii de jos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  <w:p w14:paraId="00000145"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picioarele pe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aceeași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linie</w:t>
            </w:r>
          </w:p>
        </w:tc>
      </w:tr>
      <w:tr w14:paraId="03A41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</w:trPr>
        <w:tc>
          <w:tcPr>
            <w:gridSpan w:val="3"/>
            <w:vMerge w:val="continue"/>
          </w:tcPr>
          <w:p w14:paraId="000001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p w14:paraId="000001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Joc bilateral cu efectiv redus</w:t>
            </w:r>
          </w:p>
          <w:p w14:paraId="000001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- Fiecare echipă are trei jucători. Acest format permite exersarea tuturor pozițiilor și tranzițiilor, de la atac la apărare și viceversa.</w:t>
            </w:r>
          </w:p>
          <w:p w14:paraId="000001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- Jucătorii trebuie să fie mai implicați în fiecare aspect al jocului, deoarece echipele sunt mici și fiecare jucător are un rol esențial.</w:t>
            </w:r>
          </w:p>
        </w:tc>
        <w:tc>
          <w:tcPr>
            <w:gridSpan w:val="2"/>
          </w:tcPr>
          <w:p w14:paraId="000001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min</w:t>
            </w:r>
          </w:p>
        </w:tc>
        <w:tc>
          <w:p w14:paraId="000001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       În grup</w:t>
            </w:r>
          </w:p>
          <w:p w14:paraId="000001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Explicația</w:t>
            </w:r>
          </w:p>
          <w:p w14:paraId="000001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Demonstrării</w:t>
            </w: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</w:t>
            </w:r>
          </w:p>
          <w:p w14:paraId="0000015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Problematizării</w:t>
            </w:r>
          </w:p>
          <w:p w14:paraId="0000015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Individual </w:t>
            </w:r>
          </w:p>
        </w:tc>
        <w:tc>
          <w:p w14:paraId="000001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- Plasă de volei (dacă este disponibilă)</w:t>
            </w:r>
          </w:p>
        </w:tc>
        <w:tc>
          <w:p w14:paraId="000001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Tragem atenție la îndeplinirea tehnici.</w:t>
            </w:r>
          </w:p>
          <w:p w14:paraId="000001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Respectăm regulile de securitate în timpul jocului</w:t>
            </w:r>
          </w:p>
        </w:tc>
      </w:tr>
      <w:tr w14:paraId="671CD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gridSpan w:val="10"/>
          </w:tcPr>
          <w:p w14:paraId="000001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Partea de încheiere (5-7 minute)</w:t>
            </w:r>
          </w:p>
        </w:tc>
      </w:tr>
      <w:tr w14:paraId="6EDE4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gridSpan w:val="3"/>
            <w:vMerge w:val="restart"/>
          </w:tcPr>
          <w:p w14:paraId="000001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O4</w:t>
            </w:r>
          </w:p>
          <w:p w14:paraId="000001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Revenirea organismului după efort. Întinderi și exerciții de respirație pentru relaxarea musculaturii.</w:t>
            </w:r>
          </w:p>
        </w:tc>
        <w:tc>
          <w:tcPr>
            <w:gridSpan w:val="2"/>
          </w:tcPr>
          <w:p w14:paraId="000001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3min</w:t>
            </w:r>
          </w:p>
        </w:tc>
        <w:tc>
          <w:p w14:paraId="000001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În perechi</w:t>
            </w:r>
          </w:p>
        </w:tc>
        <w:tc>
          <w:p w14:paraId="000001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Demonstrația</w:t>
            </w:r>
          </w:p>
          <w:p w14:paraId="000001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Terminologia corectă.</w:t>
            </w:r>
          </w:p>
        </w:tc>
      </w:tr>
      <w:tr w14:paraId="548D1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gridSpan w:val="3"/>
            <w:vMerge w:val="continue"/>
          </w:tcPr>
          <w:p w14:paraId="0000017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Totalurile  lecției</w:t>
            </w:r>
          </w:p>
          <w:p w14:paraId="000001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Încurajarea comunicării între elevi pentru a se ajuta reciproc să îmbunătățească performanța.</w:t>
            </w:r>
          </w:p>
        </w:tc>
        <w:tc>
          <w:tcPr>
            <w:gridSpan w:val="2"/>
          </w:tcPr>
          <w:p w14:paraId="000001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2min</w:t>
            </w:r>
          </w:p>
        </w:tc>
        <w:tc>
          <w:p w14:paraId="000001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în linie pe un singur rând </w:t>
            </w:r>
            <w:sdt>
              <w:sdtPr>
                <w:tag w:val="goog_rdk_1"/>
                <w:id w:val="147462984"/>
              </w:sdtPr>
              <w:sdtContent>
                <w:r>
                  <w:rPr>
                    <w:rFonts w:ascii="Arial Unicode MS" w:hAnsi="Arial Unicode MS" w:eastAsia="Arial Unicode MS" w:cs="Arial Unicode MS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val="clear" w:fill="auto"/>
                    <w:vertAlign w:val="baseline"/>
                    <w:rtl w:val="0"/>
                  </w:rPr>
                  <w:t>☺☺☺☺☺☺</w:t>
                </w:r>
              </w:sdtContent>
            </w:sdt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                                                                      </w:t>
            </w:r>
            <w:sdt>
              <w:sdtPr>
                <w:tag w:val="goog_rdk_2"/>
                <w:id w:val="147465804"/>
              </w:sdtPr>
              <w:sdtContent>
                <w:r>
                  <w:rPr>
                    <w:rFonts w:ascii="Arial Unicode MS" w:hAnsi="Arial Unicode MS" w:eastAsia="Arial Unicode MS" w:cs="Arial Unicode MS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val="clear" w:fill="auto"/>
                    <w:vertAlign w:val="baseline"/>
                    <w:rtl w:val="0"/>
                  </w:rPr>
                  <w:t>☻</w:t>
                </w:r>
              </w:sdtContent>
            </w:sdt>
          </w:p>
        </w:tc>
        <w:tc>
          <w:p w14:paraId="000001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Analiza</w:t>
            </w:r>
          </w:p>
          <w:p w14:paraId="000001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Observația</w:t>
            </w:r>
          </w:p>
          <w:p w14:paraId="000001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Aprecierea </w:t>
            </w:r>
          </w:p>
          <w:p w14:paraId="000001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Recapitularea principalelor aspecte învățate în timpul lecției.</w:t>
            </w:r>
          </w:p>
        </w:tc>
      </w:tr>
    </w:tbl>
    <w:p w14:paraId="0000017F">
      <w:pPr>
        <w:rPr>
          <w:rFonts w:ascii="Times New Roman" w:hAnsi="Times New Roman" w:eastAsia="Times New Roman" w:cs="Times New Roman"/>
          <w:sz w:val="24"/>
          <w:szCs w:val="24"/>
        </w:rPr>
      </w:pPr>
    </w:p>
    <w:sectPr>
      <w:pgSz w:w="16838" w:h="11906" w:orient="landscape"/>
      <w:pgMar w:top="1418" w:right="1134" w:bottom="851" w:left="1134" w:header="709" w:footer="709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Noto Sans Symbol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7CACCB"/>
    <w:multiLevelType w:val="multilevel"/>
    <w:tmpl w:val="FD7CACCB"/>
    <w:lvl w:ilvl="0" w:tentative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  <w:b/>
        <w:i w:val="0"/>
        <w:color w:val="000000"/>
        <w:sz w:val="20"/>
        <w:szCs w:val="2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353" w:hanging="359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8A620B"/>
    <w:multiLevelType w:val="multilevel"/>
    <w:tmpl w:val="7E8A620B"/>
    <w:lvl w:ilvl="0" w:tentative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  <w:b/>
        <w:i w:val="0"/>
        <w:color w:val="000000"/>
        <w:sz w:val="20"/>
        <w:szCs w:val="2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3B4B6B0F"/>
    <w:rsid w:val="622206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en-US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2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Table Normal1"/>
    <w:qFormat/>
    <w:uiPriority w:val="0"/>
  </w:style>
  <w:style w:type="paragraph" w:styleId="14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paragraph" w:styleId="15">
    <w:name w:val="No Spacing"/>
    <w:qFormat/>
    <w:uiPriority w:val="1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en-US"/>
    </w:rPr>
  </w:style>
  <w:style w:type="paragraph" w:styleId="16">
    <w:name w:val="List Paragraph"/>
    <w:basedOn w:val="1"/>
    <w:link w:val="17"/>
    <w:qFormat/>
    <w:uiPriority w:val="34"/>
    <w:pPr>
      <w:spacing w:after="160"/>
      <w:ind w:left="720"/>
      <w:contextualSpacing/>
    </w:pPr>
    <w:rPr>
      <w:rFonts w:cs="Times New Roman"/>
      <w:color w:val="000000" w:themeColor="text1"/>
      <w:szCs w:val="20"/>
      <w:lang w:val="nb-NO" w:eastAsia="nb-NO"/>
      <w14:textFill>
        <w14:solidFill>
          <w14:schemeClr w14:val="tx1"/>
        </w14:solidFill>
      </w14:textFill>
    </w:rPr>
  </w:style>
  <w:style w:type="character" w:customStyle="1" w:styleId="17">
    <w:name w:val="List Paragraph Char"/>
    <w:basedOn w:val="8"/>
    <w:link w:val="16"/>
    <w:qFormat/>
    <w:locked/>
    <w:uiPriority w:val="34"/>
    <w:rPr>
      <w:rFonts w:cs="Times New Roman"/>
      <w:color w:val="000000" w:themeColor="text1"/>
      <w:szCs w:val="20"/>
      <w:lang w:val="nb-NO" w:eastAsia="nb-NO"/>
      <w14:textFill>
        <w14:solidFill>
          <w14:schemeClr w14:val="tx1"/>
        </w14:solidFill>
      </w14:textFill>
    </w:rPr>
  </w:style>
  <w:style w:type="paragraph" w:customStyle="1" w:styleId="18">
    <w:name w:val="Default"/>
    <w:qFormat/>
    <w:uiPriority w:val="0"/>
    <w:pPr>
      <w:autoSpaceDE w:val="0"/>
      <w:autoSpaceDN w:val="0"/>
      <w:adjustRightInd w:val="0"/>
      <w:spacing w:after="200" w:line="276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ru-RU"/>
    </w:rPr>
  </w:style>
  <w:style w:type="paragraph" w:customStyle="1" w:styleId="19">
    <w:name w:val="Normal11"/>
    <w:qFormat/>
    <w:uiPriority w:val="0"/>
    <w:pPr>
      <w:spacing w:before="100" w:beforeAutospacing="1" w:after="100" w:afterAutospacing="1" w:line="271" w:lineRule="auto"/>
    </w:pPr>
    <w:rPr>
      <w:rFonts w:ascii="Calibri" w:hAnsi="Calibri" w:eastAsia="Times New Roman" w:cs="Times New Roman"/>
      <w:sz w:val="24"/>
      <w:szCs w:val="24"/>
      <w:lang w:val="ru-RU" w:eastAsia="ru-RU"/>
    </w:rPr>
  </w:style>
  <w:style w:type="paragraph" w:customStyle="1" w:styleId="20">
    <w:name w:val="Normal1"/>
    <w:basedOn w:val="1"/>
    <w:qFormat/>
    <w:uiPriority w:val="0"/>
    <w:pPr>
      <w:spacing w:before="100" w:beforeAutospacing="1" w:after="100" w:afterAutospacing="1" w:line="268" w:lineRule="auto"/>
    </w:pPr>
    <w:rPr>
      <w:rFonts w:ascii="Calibri" w:hAnsi="Calibri" w:eastAsia="Times New Roman" w:cs="Times New Roman"/>
      <w:sz w:val="24"/>
      <w:szCs w:val="24"/>
      <w:lang w:eastAsia="ru-RU"/>
    </w:rPr>
  </w:style>
  <w:style w:type="table" w:customStyle="1" w:styleId="21">
    <w:name w:val="_Style 21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w/Co6pQ+0aONKE+lRezAlsGH5w==">CgMxLjAaMAoBMBIrCikIB0IlChFRdWF0dHJvY2VudG8gU2FucxIQQXJpYWwgVW5pY29kZSBNUxowCgExEisKKQgHQiUKEVF1YXR0cm9jZW50byBTYW5zEhBBcmlhbCBVbmljb2RlIE1TGjAKATISKwopCAdCJQoRUXVhdHRyb2NlbnRvIFNhbnMSEEFyaWFsIFVuaWNvZGUgTVMyCGguZ2pkZ3hzOAByITFHbmtFUENPajNDc1ZBaVZWXzM0SUs2NWtnRzZibVNxVA==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Office_12.2.0.17562_F1E327BC-269C-435d-A152-05C5408002CA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2024-04-20T12:39:00Z</dcterms:created>
  <dc:creator>Пользователь Windows</dc:creator>
  <cp:lastModifiedBy>Natalia  Onofrei</cp:lastModifiedBy>
  <dcterms:modified xsi:type="dcterms:W3CDTF">2024-08-26T16:09:02Z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FA9D1E716C04480593C6900ADF14D4CB_13</vt:lpwstr>
  </property>
</Properties>
</file>