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Proiect didactic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Clasa a XII-a, profil umanist</w:t>
      </w:r>
    </w:p>
    <w:p w:rsidR="00000000" w:rsidDel="00000000" w:rsidP="00000000" w:rsidRDefault="00000000" w:rsidRPr="00000000" w14:paraId="00000003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Lecția II</w:t>
      </w:r>
    </w:p>
    <w:p w:rsidR="00000000" w:rsidDel="00000000" w:rsidP="00000000" w:rsidRDefault="00000000" w:rsidRPr="00000000" w14:paraId="00000004">
      <w:pPr>
        <w:spacing w:after="0" w:line="360" w:lineRule="auto"/>
        <w:ind w:left="-142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Ateliere de exersare pentru sesiunea BAC</w:t>
      </w:r>
    </w:p>
    <w:p w:rsidR="00000000" w:rsidDel="00000000" w:rsidP="00000000" w:rsidRDefault="00000000" w:rsidRPr="00000000" w14:paraId="00000005">
      <w:pPr>
        <w:spacing w:after="0" w:line="360" w:lineRule="auto"/>
        <w:ind w:left="-14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Explicarea termenilor istorici, specifici Epocii Contemporane.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Încadrarea termenilor specifici istoriei contemporane în contexte care implică explicaţii, interpretări şi atitudini.</w:t>
      </w:r>
    </w:p>
    <w:p w:rsidR="00000000" w:rsidDel="00000000" w:rsidP="00000000" w:rsidRDefault="00000000" w:rsidRPr="00000000" w14:paraId="00000008">
      <w:pPr>
        <w:spacing w:after="0" w:line="36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Cercetarea informaţiei din diferite surse în vederea stabilirii credibilităţii şi a validităţii opiniilor.</w:t>
      </w:r>
    </w:p>
    <w:p w:rsidR="00000000" w:rsidDel="00000000" w:rsidP="00000000" w:rsidRDefault="00000000" w:rsidRPr="00000000" w14:paraId="00000009">
      <w:pPr>
        <w:spacing w:after="0" w:line="360" w:lineRule="auto"/>
        <w:ind w:left="-142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recunoască </w:t>
      </w:r>
      <w:r w:rsidDel="00000000" w:rsidR="00000000" w:rsidRPr="00000000">
        <w:rPr>
          <w:sz w:val="24"/>
          <w:szCs w:val="24"/>
          <w:rtl w:val="0"/>
        </w:rPr>
        <w:t xml:space="preserve">Programa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pentru examenul național de bacalaureat la disciplina istoria românilor și universală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identifice corect, tipul de item (ex. determinare, argumentare, comparație, opinie, apreciere) și cerința asociată, utilizând baremul de evaluare.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formuleze, în scris, răspunsuri complete  itemi diferiți, conform structurii cerute de barem 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participe activ la activitățile de exersare și autoevaluare, acceptând corectarea răspunsurilor proprii și oferind minimum intervenții relevante în cadrul discuției colective.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manifeste o atitudine responsabilă față de propria pregătire, respectând sarcinile de lucru și timpul alocat fiecărui item, demonstrând interes pentru perfecționarea răspunsurilor proprii.</w:t>
      </w:r>
    </w:p>
    <w:p w:rsidR="00000000" w:rsidDel="00000000" w:rsidP="00000000" w:rsidRDefault="00000000" w:rsidRPr="00000000" w14:paraId="0000000F">
      <w:pPr>
        <w:spacing w:after="0" w:line="360" w:lineRule="auto"/>
        <w:ind w:left="-142" w:firstLine="0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sz w:val="24"/>
          <w:szCs w:val="24"/>
          <w:rtl w:val="0"/>
        </w:rPr>
        <w:t xml:space="preserve">: Exercițiul, Discuția dirijată, Explicația.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activitate individuală, frontală.</w:t>
      </w:r>
    </w:p>
    <w:tbl>
      <w:tblPr>
        <w:tblStyle w:val="Table1"/>
        <w:tblW w:w="14883.999999999998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1276"/>
        <w:gridCol w:w="9072"/>
        <w:gridCol w:w="992"/>
        <w:gridCol w:w="2126"/>
        <w:tblGridChange w:id="0">
          <w:tblGrid>
            <w:gridCol w:w="1418"/>
            <w:gridCol w:w="1276"/>
            <w:gridCol w:w="9072"/>
            <w:gridCol w:w="992"/>
            <w:gridCol w:w="2126"/>
          </w:tblGrid>
        </w:tblGridChange>
      </w:tblGrid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4">
            <w:pPr>
              <w:spacing w:line="360" w:lineRule="auto"/>
              <w:ind w:right="-106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(Metodă/Formă de activitate/Resurse)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Profesorul/ profesoara are rolul esențial de a capta atenția elevilor și de a-i motiva să se implice activ pregătirea pentru examenul național de bacalaureat.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Reamintește elevilor despre atelierul 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Exersarea competențelor de analiză istorică prin comparație și reflecție critică.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Definiția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Comparației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-  o metodă de analiză istorică ce constă în punerea alăturată a două sau mai multe surse, evenimente, fenomene, idei sau puncte de vedere, pentru a identifica asemănările și deosebirile între ele, în funcție de un criteriu comun. Comparația este o operație logică și lingvistică prin care se pun în evidență asemănările sau deosebirile dintre două sau mai multe elemente (evenimente, persoane, fenomene, epoci etc.).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Această metodă dezvoltă gândirea critică, capacitatea de analiză și argumentare a elevilor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Discută pe scurt în plen despre principalele idei.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Anunțarea subiectului și a obiectivelor lecției.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Notați titlul lecției și o întrebare de interes personal despre tema anunțată.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Discuție dirijată</w:t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u w:val="single"/>
                  <w:rtl w:val="0"/>
                </w:rPr>
                <w:t xml:space="preserve">Programă pentru examenul național de bacalaureat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 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before="0"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explică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Ce este un criteriu de comparație?</w:t>
            </w:r>
          </w:p>
          <w:p w:rsidR="00000000" w:rsidDel="00000000" w:rsidP="00000000" w:rsidRDefault="00000000" w:rsidRPr="00000000" w14:paraId="0000003F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Criteriul de comparație este aspectul concret pe baza căruia se face comparația, adică acel element comun (sau opus) care permite observarea asemănărilor sau diferențelor.</w:t>
            </w:r>
          </w:p>
          <w:p w:rsidR="00000000" w:rsidDel="00000000" w:rsidP="00000000" w:rsidRDefault="00000000" w:rsidRPr="00000000" w14:paraId="00000040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Exemple de criterii: perioada, cauzele, consecințele, metodele folosite, obiectivele, rezultatele, contextul istoric, rolul unei personalități etc.</w:t>
            </w:r>
          </w:p>
          <w:p w:rsidR="00000000" w:rsidDel="00000000" w:rsidP="00000000" w:rsidRDefault="00000000" w:rsidRPr="00000000" w14:paraId="00000041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Etapele realizării unei comparații istorice corecte:</w:t>
            </w:r>
          </w:p>
          <w:p w:rsidR="00000000" w:rsidDel="00000000" w:rsidP="00000000" w:rsidRDefault="00000000" w:rsidRPr="00000000" w14:paraId="00000042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●</w:t>
              <w:tab/>
              <w:t xml:space="preserve">Selectarea obiectului comparației – două surse, două evenimente, două epoci etc.</w:t>
            </w:r>
          </w:p>
          <w:p w:rsidR="00000000" w:rsidDel="00000000" w:rsidP="00000000" w:rsidRDefault="00000000" w:rsidRPr="00000000" w14:paraId="00000043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●</w:t>
              <w:tab/>
              <w:t xml:space="preserve">Identificarea criteriului de comparație – de exemplu: cauze, efecte, valori, context, reacția opiniei publice, limbaj, rolul actorilor istorici etc.</w:t>
            </w:r>
          </w:p>
          <w:p w:rsidR="00000000" w:rsidDel="00000000" w:rsidP="00000000" w:rsidRDefault="00000000" w:rsidRPr="00000000" w14:paraId="00000044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●</w:t>
              <w:tab/>
              <w:t xml:space="preserve">Analiza detaliată a fiecărui element conform criteriului ales.</w:t>
            </w:r>
          </w:p>
          <w:p w:rsidR="00000000" w:rsidDel="00000000" w:rsidP="00000000" w:rsidRDefault="00000000" w:rsidRPr="00000000" w14:paraId="00000045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●</w:t>
              <w:tab/>
              <w:t xml:space="preserve">Stabilirea asemănărilor și deosebirilor.</w:t>
            </w:r>
          </w:p>
          <w:p w:rsidR="00000000" w:rsidDel="00000000" w:rsidP="00000000" w:rsidRDefault="00000000" w:rsidRPr="00000000" w14:paraId="00000046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●</w:t>
              <w:tab/>
              <w:t xml:space="preserve">Formularea concluziilor personale, preferabil cu argumente și valorizare critică.</w:t>
            </w:r>
          </w:p>
          <w:p w:rsidR="00000000" w:rsidDel="00000000" w:rsidP="00000000" w:rsidRDefault="00000000" w:rsidRPr="00000000" w14:paraId="00000047">
            <w:pPr>
              <w:spacing w:after="0" w:before="0"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Pe parcursul lecției monitorizează activitatea tuturor elevilor. Poate alege câteva dintre activitățile propuse:</w:t>
            </w:r>
          </w:p>
          <w:p w:rsidR="00000000" w:rsidDel="00000000" w:rsidP="00000000" w:rsidRDefault="00000000" w:rsidRPr="00000000" w14:paraId="00000048">
            <w:pPr>
              <w:spacing w:after="0" w:before="0"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prezintă 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Exemplele de itemi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, ce sunt destinate pentru familiarizarea candidaților la examenul național de bacalaureat, profesorilor, autorilor de teste cu structura și tipologia itemilor. Aceste exemple nu acoperă întreaga varietate de formulări posibile de itemi/sarcini, ce pot fi utilizate la elaborarea testelor ce vor fi propuse candidaților.</w:t>
            </w: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u w:val="single"/>
                  <w:rtl w:val="0"/>
                </w:rPr>
                <w:t xml:space="preserve">Programă pentru examenul național de bacalaureat</w:t>
              </w:r>
            </w:hyperlink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, pag. 9</w:t>
            </w:r>
          </w:p>
          <w:p w:rsidR="00000000" w:rsidDel="00000000" w:rsidP="00000000" w:rsidRDefault="00000000" w:rsidRPr="00000000" w14:paraId="00000049">
            <w:pPr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Explică elevilor rolul verbelor de acțiune în formularea itemilor. Apoi propune elevilor exersarea Itemilor din diferite sesiuni de examen:</w:t>
            </w:r>
          </w:p>
          <w:p w:rsidR="00000000" w:rsidDel="00000000" w:rsidP="00000000" w:rsidRDefault="00000000" w:rsidRPr="00000000" w14:paraId="0000004A">
            <w:pPr>
              <w:pStyle w:val="Heading2"/>
              <w:spacing w:after="0" w:before="0" w:line="360" w:lineRule="auto"/>
              <w:rPr>
                <w:b w:val="0"/>
                <w:sz w:val="24"/>
                <w:szCs w:val="24"/>
              </w:rPr>
            </w:pPr>
            <w:r w:rsidDel="00000000" w:rsidR="00000000" w:rsidRPr="00000000">
              <w:rPr>
                <w:b w:val="0"/>
                <w:sz w:val="24"/>
                <w:szCs w:val="24"/>
                <w:rtl w:val="0"/>
              </w:rPr>
              <w:t xml:space="preserve">Exemplu de item: </w:t>
            </w:r>
          </w:p>
          <w:p w:rsidR="00000000" w:rsidDel="00000000" w:rsidP="00000000" w:rsidRDefault="00000000" w:rsidRPr="00000000" w14:paraId="0000004B">
            <w:pPr>
              <w:spacing w:after="0" w:before="0"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„Compară opiniile expuse de autori privind implicarea în lupta antiotomană a domnitorilor români. Argumentează răspunsul cu trimitere la surse.”</w:t>
            </w:r>
          </w:p>
          <w:p w:rsidR="00000000" w:rsidDel="00000000" w:rsidP="00000000" w:rsidRDefault="00000000" w:rsidRPr="00000000" w14:paraId="0000004C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Cum se realizează corect acest tip de item: Să compari cele două opinii din sursele istorice (A și B), identificând asemănări și/sau deosebiri,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folosind un criteriu clar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și să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argumentezi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folosindu-te de informații din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ambele surse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pStyle w:val="Heading2"/>
              <w:keepNext w:val="0"/>
              <w:keepLines w:val="0"/>
              <w:spacing w:after="0" w:before="0" w:line="360" w:lineRule="auto"/>
              <w:rPr>
                <w:sz w:val="24"/>
                <w:szCs w:val="24"/>
              </w:rPr>
            </w:pPr>
            <w:bookmarkStart w:colFirst="0" w:colLast="0" w:name="_fqgk2mskbxgn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PAȘII PENTRU REZOLVARE (conform baremului)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pacing w:after="0" w:before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Citește sursele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cu atenție și identifică ideile legate de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implicarea domnitorilor români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în lupta antiotomană.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pacing w:after="0" w:before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Alege un criteriu de comparație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(ex.: natura sprijinului, amploarea implicării, tipul de acțiuni militare etc.)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pacing w:after="0" w:before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Stabilește asemănări sau deosebiri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între opiniile din cele două surse.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pacing w:after="0" w:before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Formulează concluzia comparației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(ce au în comun sau ce diferă).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pacing w:after="0" w:before="0" w:line="36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Argumentează folosind ambele surse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citează sau parafrazează idei relevante, conform baremului.</w:t>
            </w:r>
          </w:p>
          <w:tbl>
            <w:tblPr>
              <w:tblStyle w:val="Table2"/>
              <w:tblW w:w="882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965"/>
              <w:gridCol w:w="5205"/>
              <w:gridCol w:w="1650"/>
              <w:tblGridChange w:id="0">
                <w:tblGrid>
                  <w:gridCol w:w="1965"/>
                  <w:gridCol w:w="5205"/>
                  <w:gridCol w:w="165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Componentă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Conținut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Punctaj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Comparație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Criteriu + asemănare/deosebire + concluzie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3 p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Argumentare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Explicarea diferenței/asemănării folosind informații din ambele surse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36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4 p</w:t>
                  </w:r>
                </w:p>
              </w:tc>
            </w:tr>
          </w:tbl>
          <w:p w:rsidR="00000000" w:rsidDel="00000000" w:rsidP="00000000" w:rsidRDefault="00000000" w:rsidRPr="00000000" w14:paraId="0000005C">
            <w:pPr>
              <w:spacing w:after="0" w:before="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MODELE DE RĂSPUNSURI COMPLETE (x5)</w:t>
            </w:r>
          </w:p>
          <w:p w:rsidR="00000000" w:rsidDel="00000000" w:rsidP="00000000" w:rsidRDefault="00000000" w:rsidRPr="00000000" w14:paraId="0000005D">
            <w:pPr>
              <w:spacing w:after="0" w:before="0"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EXEMPLUL 1</w:t>
            </w:r>
          </w:p>
          <w:p w:rsidR="00000000" w:rsidDel="00000000" w:rsidP="00000000" w:rsidRDefault="00000000" w:rsidRPr="00000000" w14:paraId="0000005E">
            <w:pPr>
              <w:spacing w:after="0" w:before="0" w:line="36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 de comparație: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nivelul sprijinului oferit de domnitorii români.</w:t>
            </w:r>
          </w:p>
          <w:p w:rsidR="00000000" w:rsidDel="00000000" w:rsidP="00000000" w:rsidRDefault="00000000" w:rsidRPr="00000000" w14:paraId="0000005F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Comparație: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Sursele A și B oferă opinii diferite privind sprijinul acordat de domnitorii români în lupta antiotomană. Autorul sursei A consideră că sprijinul a fost ocazional, în timp ce autorul sursei B susține că domnitorii români au oferit un ajutor constant și esențial.</w:t>
            </w:r>
          </w:p>
          <w:p w:rsidR="00000000" w:rsidDel="00000000" w:rsidP="00000000" w:rsidRDefault="00000000" w:rsidRPr="00000000" w14:paraId="00000060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Argumentare: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În sursa A, se menționează că domnii „au sprijinit uneori cu trupe și provizii”, ceea ce sugerează o implicare limitată. În schimb, sursa B afirmă că „domnii Țării Românești și ai Moldovei au fost aliați permanenți ai lui Iancu, trimițându-i armate în mai multe campanii”, ceea ce indică un sprijin consecvent.</w:t>
            </w:r>
          </w:p>
          <w:p w:rsidR="00000000" w:rsidDel="00000000" w:rsidP="00000000" w:rsidRDefault="00000000" w:rsidRPr="00000000" w14:paraId="00000061">
            <w:pPr>
              <w:pStyle w:val="Heading3"/>
              <w:keepNext w:val="0"/>
              <w:keepLines w:val="0"/>
              <w:spacing w:after="0" w:before="0" w:line="360" w:lineRule="auto"/>
              <w:rPr>
                <w:sz w:val="24"/>
                <w:szCs w:val="24"/>
              </w:rPr>
            </w:pPr>
            <w:bookmarkStart w:colFirst="0" w:colLast="0" w:name="_qehpi5e6v8r1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EXEMPLUL 2</w:t>
            </w:r>
          </w:p>
          <w:p w:rsidR="00000000" w:rsidDel="00000000" w:rsidP="00000000" w:rsidRDefault="00000000" w:rsidRPr="00000000" w14:paraId="00000062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 de comparație: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natura implicării – militară sau diplomatică.</w:t>
            </w:r>
          </w:p>
          <w:p w:rsidR="00000000" w:rsidDel="00000000" w:rsidP="00000000" w:rsidRDefault="00000000" w:rsidRPr="00000000" w14:paraId="00000063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Comparație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Sursa A subliniază o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implicare militară directă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 domnitorilor români, pe când sursa B evidențiază un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rol diplomatic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prin alianțe și sprijin indirect.</w:t>
            </w:r>
          </w:p>
          <w:p w:rsidR="00000000" w:rsidDel="00000000" w:rsidP="00000000" w:rsidRDefault="00000000" w:rsidRPr="00000000" w14:paraId="00000064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Argumentare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Sursa A afirmă că „domnii au condus personal oastea împotriva otomanilor”, în timp ce în sursa B se spune că „au oferit sprijin logistic și au intermediat tratative între regatul ungar și alți vecini creștini”.</w:t>
            </w:r>
          </w:p>
          <w:p w:rsidR="00000000" w:rsidDel="00000000" w:rsidP="00000000" w:rsidRDefault="00000000" w:rsidRPr="00000000" w14:paraId="00000065">
            <w:pPr>
              <w:pStyle w:val="Heading3"/>
              <w:keepNext w:val="0"/>
              <w:keepLines w:val="0"/>
              <w:spacing w:after="0" w:before="0" w:line="360" w:lineRule="auto"/>
              <w:rPr>
                <w:sz w:val="24"/>
                <w:szCs w:val="24"/>
              </w:rPr>
            </w:pPr>
            <w:bookmarkStart w:colFirst="0" w:colLast="0" w:name="_ksk8lea8kv3z" w:id="2"/>
            <w:bookmarkEnd w:id="2"/>
            <w:r w:rsidDel="00000000" w:rsidR="00000000" w:rsidRPr="00000000">
              <w:rPr>
                <w:sz w:val="24"/>
                <w:szCs w:val="24"/>
                <w:rtl w:val="0"/>
              </w:rPr>
              <w:t xml:space="preserve">EXEMPLUL 3</w:t>
            </w:r>
          </w:p>
          <w:p w:rsidR="00000000" w:rsidDel="00000000" w:rsidP="00000000" w:rsidRDefault="00000000" w:rsidRPr="00000000" w14:paraId="00000066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motivația implicării.</w:t>
            </w:r>
          </w:p>
          <w:p w:rsidR="00000000" w:rsidDel="00000000" w:rsidP="00000000" w:rsidRDefault="00000000" w:rsidRPr="00000000" w14:paraId="00000067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Comparație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Autorul sursei A susține că domnitorii români s-au implicat din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interes propriu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(pentru a-și apăra teritoriul), iar autorul sursei B consideră că au acționat din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solidaritate creștină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8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Argumentare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 Sursa A menționează că „domnitorii urmăreau menținerea autonomiei în fața pericolului otoman”, în timp ce sursa B afirmă că „ei vedeau în lupta antiotomană o misiune religioasă, alăturându-se cruciadei creștine.”</w:t>
            </w:r>
          </w:p>
          <w:p w:rsidR="00000000" w:rsidDel="00000000" w:rsidP="00000000" w:rsidRDefault="00000000" w:rsidRPr="00000000" w14:paraId="00000069">
            <w:pPr>
              <w:pStyle w:val="Heading3"/>
              <w:keepNext w:val="0"/>
              <w:keepLines w:val="0"/>
              <w:spacing w:after="0" w:before="0" w:line="360" w:lineRule="auto"/>
              <w:rPr>
                <w:sz w:val="24"/>
                <w:szCs w:val="24"/>
              </w:rPr>
            </w:pPr>
            <w:bookmarkStart w:colFirst="0" w:colLast="0" w:name="_96z07f80s5xt" w:id="3"/>
            <w:bookmarkEnd w:id="3"/>
            <w:r w:rsidDel="00000000" w:rsidR="00000000" w:rsidRPr="00000000">
              <w:rPr>
                <w:sz w:val="24"/>
                <w:szCs w:val="24"/>
                <w:rtl w:val="0"/>
              </w:rPr>
              <w:t xml:space="preserve">EXEMPLUL 4</w:t>
            </w:r>
          </w:p>
          <w:p w:rsidR="00000000" w:rsidDel="00000000" w:rsidP="00000000" w:rsidRDefault="00000000" w:rsidRPr="00000000" w14:paraId="0000006A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eficiența sprijinului oferit.</w:t>
            </w:r>
          </w:p>
          <w:p w:rsidR="00000000" w:rsidDel="00000000" w:rsidP="00000000" w:rsidRDefault="00000000" w:rsidRPr="00000000" w14:paraId="0000006B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Comparație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 Autorul sursei A pune la îndoială eficiența sprijinului oferit de domnitori, sugerând că a fost slab organizat. În schimb, sursa B descrie contribuția lor ca fiind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decisivă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în unele bătălii.</w:t>
            </w:r>
          </w:p>
          <w:p w:rsidR="00000000" w:rsidDel="00000000" w:rsidP="00000000" w:rsidRDefault="00000000" w:rsidRPr="00000000" w14:paraId="0000006C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Argumentare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În sursa A, se afirmă că „intervențiile domnitorilor erau uneori întârziate și necoordonate”, pe când în sursa B se spune că „fără sprijinul lor, victoria de la Belgrad din 1456 nu ar fi fost posibilă”.</w:t>
            </w:r>
          </w:p>
          <w:p w:rsidR="00000000" w:rsidDel="00000000" w:rsidP="00000000" w:rsidRDefault="00000000" w:rsidRPr="00000000" w14:paraId="0000006D">
            <w:pPr>
              <w:pStyle w:val="Heading3"/>
              <w:keepNext w:val="0"/>
              <w:keepLines w:val="0"/>
              <w:spacing w:after="0" w:before="0" w:line="360" w:lineRule="auto"/>
              <w:rPr>
                <w:sz w:val="24"/>
                <w:szCs w:val="24"/>
              </w:rPr>
            </w:pPr>
            <w:bookmarkStart w:colFirst="0" w:colLast="0" w:name="_vzuod7eawkz3" w:id="4"/>
            <w:bookmarkEnd w:id="4"/>
            <w:r w:rsidDel="00000000" w:rsidR="00000000" w:rsidRPr="00000000">
              <w:rPr>
                <w:sz w:val="24"/>
                <w:szCs w:val="24"/>
                <w:rtl w:val="0"/>
              </w:rPr>
              <w:t xml:space="preserve">EXEMPLUL 5</w:t>
            </w:r>
          </w:p>
          <w:p w:rsidR="00000000" w:rsidDel="00000000" w:rsidP="00000000" w:rsidRDefault="00000000" w:rsidRPr="00000000" w14:paraId="0000006E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amploarea implicării.</w:t>
            </w:r>
          </w:p>
          <w:p w:rsidR="00000000" w:rsidDel="00000000" w:rsidP="00000000" w:rsidRDefault="00000000" w:rsidRPr="00000000" w14:paraId="0000006F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Comparație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Sursa A vorbește despre o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implicare limitată, locală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în timp ce sursa B prezintă implicarea ca parte a unei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strategii regionale mai largi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0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Argumentare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Sursa A notează că domnitorii „acționau mai ales în zonele de graniță cu Imperiul Otoman”, în timp ce sursa B afirmă că „ei au colaborat cu Iancu în mai multe campanii, inclusiv în sudul Dunării.”</w:t>
            </w:r>
          </w:p>
          <w:p w:rsidR="00000000" w:rsidDel="00000000" w:rsidP="00000000" w:rsidRDefault="00000000" w:rsidRPr="00000000" w14:paraId="00000071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EXERCIȚII DE EXERSARE COMPARAȚIE + ARGUMENTARE: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0" w:before="0" w:line="360" w:lineRule="auto"/>
              <w:ind w:left="425.1968503937005" w:right="600" w:hanging="360.0000000000003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Compară opiniile exprimate în sursele A și B privind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rolul Daciei în războaiele cu Imperiul Roman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Argumentează răspunsul cu trimitere la surse.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Scop: identificarea diferenței de perspectivă și susținerea cu date despre Decebal, armata dacă, rolul în cucerire.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"/>
              </w:numPr>
              <w:spacing w:after="0" w:before="0" w:line="360" w:lineRule="auto"/>
              <w:ind w:left="720" w:right="60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Compară opiniile exprimate în sursele A și B despre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rolul lui Mircea cel Bătrân în apărarea Țării Românești împotriva otomanilor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Argumentează răspunsul cu trimitere la surse.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Scop: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folosirea criteriului „modul de acțiune” (militar vs. diplomatic).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"/>
              </w:numPr>
              <w:spacing w:after="0" w:before="0" w:line="360" w:lineRule="auto"/>
              <w:ind w:left="720" w:right="60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Compară opiniile exprimate în sursele A și B privind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contribuția țărilor române la Revoluția de la 1848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Argumentează răspunsul cu trimitere la surse.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Scop: criteriu = gradul de unitate în acțiune; comparație și argumentare cu exemple: Proclamația de la Islaz, Avram Iancu etc.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spacing w:after="0" w:before="0" w:line="360" w:lineRule="auto"/>
              <w:ind w:left="720" w:right="60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Sarcină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: Compară opiniile exprimate în sursele A și B despre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rolul României în Primul Război Mondial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Argumentează cu trimitere la surse.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Scop: criteriu = importanța implicării; argumentare cu exemplu din 1916–1918, Mărășești, unirea de la 1918.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8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PPT/ Canva</w:t>
            </w:r>
          </w:p>
          <w:p w:rsidR="00000000" w:rsidDel="00000000" w:rsidP="00000000" w:rsidRDefault="00000000" w:rsidRPr="00000000" w14:paraId="0000009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9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u w:val="single"/>
                  <w:rtl w:val="0"/>
                </w:rPr>
                <w:t xml:space="preserve">Programă pentru examenul național de bacalaureat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0B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0B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pStyle w:val="Heading2"/>
              <w:keepNext w:val="0"/>
              <w:keepLines w:val="0"/>
              <w:spacing w:after="0" w:before="0" w:line="360" w:lineRule="auto"/>
              <w:jc w:val="both"/>
              <w:rPr>
                <w:sz w:val="24"/>
                <w:szCs w:val="24"/>
              </w:rPr>
            </w:pPr>
            <w:bookmarkStart w:colFirst="0" w:colLast="0" w:name="_nnxovg5uq0ew" w:id="5"/>
            <w:bookmarkEnd w:id="5"/>
            <w:r w:rsidDel="00000000" w:rsidR="00000000" w:rsidRPr="00000000">
              <w:rPr>
                <w:sz w:val="24"/>
                <w:szCs w:val="24"/>
                <w:rtl w:val="0"/>
              </w:rPr>
              <w:t xml:space="preserve">Rezumat: Ce să rețină elevii</w:t>
            </w:r>
          </w:p>
          <w:p w:rsidR="00000000" w:rsidDel="00000000" w:rsidP="00000000" w:rsidRDefault="00000000" w:rsidRPr="00000000" w14:paraId="000000C5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răspuns corect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are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criteriu + comparație + concluzie + informații din ambele surse.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Evitați generalizările vagi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(ex.: „ambele surse spun ceva diferit”).</w:t>
            </w:r>
          </w:p>
          <w:p w:rsidR="00000000" w:rsidDel="00000000" w:rsidP="00000000" w:rsidRDefault="00000000" w:rsidRPr="00000000" w14:paraId="000000C7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Folosirea expresiilor - cheie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ajută la punctaj maxim:</w:t>
            </w:r>
          </w:p>
          <w:p w:rsidR="00000000" w:rsidDel="00000000" w:rsidP="00000000" w:rsidRDefault="00000000" w:rsidRPr="00000000" w14:paraId="000000C8">
            <w:pPr>
              <w:numPr>
                <w:ilvl w:val="1"/>
                <w:numId w:val="2"/>
              </w:numPr>
              <w:spacing w:after="0" w:before="0" w:line="36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„Conform sursei A...”</w:t>
            </w:r>
          </w:p>
          <w:p w:rsidR="00000000" w:rsidDel="00000000" w:rsidP="00000000" w:rsidRDefault="00000000" w:rsidRPr="00000000" w14:paraId="000000C9">
            <w:pPr>
              <w:numPr>
                <w:ilvl w:val="1"/>
                <w:numId w:val="2"/>
              </w:numPr>
              <w:spacing w:after="0" w:before="0" w:line="36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„În sursa B se precizează că...”</w:t>
            </w:r>
          </w:p>
          <w:p w:rsidR="00000000" w:rsidDel="00000000" w:rsidP="00000000" w:rsidRDefault="00000000" w:rsidRPr="00000000" w14:paraId="000000CA">
            <w:pPr>
              <w:numPr>
                <w:ilvl w:val="1"/>
                <w:numId w:val="2"/>
              </w:numPr>
              <w:spacing w:after="0" w:before="0" w:line="36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„Așadar, cele două opinii se aseamănă/diferă în privința...”</w:t>
            </w:r>
          </w:p>
          <w:p w:rsidR="00000000" w:rsidDel="00000000" w:rsidP="00000000" w:rsidRDefault="00000000" w:rsidRPr="00000000" w14:paraId="000000CB">
            <w:pPr>
              <w:spacing w:after="0" w:before="0" w:line="360" w:lineRule="auto"/>
              <w:ind w:left="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Resurse:</w:t>
            </w:r>
          </w:p>
          <w:p w:rsidR="00000000" w:rsidDel="00000000" w:rsidP="00000000" w:rsidRDefault="00000000" w:rsidRPr="00000000" w14:paraId="000000CC">
            <w:pPr>
              <w:spacing w:after="16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Educație Online: </w:t>
            </w:r>
            <w:hyperlink r:id="rId9">
              <w:r w:rsidDel="00000000" w:rsidR="00000000" w:rsidRPr="00000000">
                <w:rPr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Istoria românilor și universală, Clasa 12, Lecția 2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  min.</w:t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b w:val="1"/>
          <w:sz w:val="24"/>
          <w:szCs w:val="24"/>
        </w:rPr>
      </w:pPr>
      <w:bookmarkStart w:colFirst="0" w:colLast="0" w:name="_z44h5kuui39z" w:id="6"/>
      <w:bookmarkEnd w:id="6"/>
      <w:r w:rsidDel="00000000" w:rsidR="00000000" w:rsidRPr="00000000">
        <w:rPr>
          <w:b w:val="1"/>
          <w:i w:val="1"/>
          <w:sz w:val="22"/>
          <w:szCs w:val="22"/>
          <w:highlight w:val="white"/>
          <w:rtl w:val="0"/>
        </w:rPr>
        <w:t xml:space="preserve">Notă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: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  </w:r>
      <w:r w:rsidDel="00000000" w:rsidR="00000000" w:rsidRPr="00000000">
        <w:rPr>
          <w:color w:val="1f1f1f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b w:val="1"/>
          <w:sz w:val="24"/>
          <w:szCs w:val="24"/>
        </w:rPr>
      </w:pPr>
      <w:bookmarkStart w:colFirst="0" w:colLast="0" w:name="_4edmdufdo6vs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sz w:val="24"/>
          <w:szCs w:val="24"/>
        </w:rPr>
      </w:pPr>
      <w:bookmarkStart w:colFirst="0" w:colLast="0" w:name="_v43381rewk9x" w:id="8"/>
      <w:bookmarkEnd w:id="8"/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Bibliografie: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Adrian Dolghi, Alina Felea, Nicolae Enciu, Ala Revenco-Bîrladeanu, Istoria Românilor și universală,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Manual pentru clasa XII, Chișinău , Știința, 2024 acces la  </w:t>
      </w:r>
      <w:hyperlink r:id="rId10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http://ctice.md:8095/public/download.php?id=621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Alina Felea , Adrian Dolghi, Ghid și teste de pregătire pentru examenul de Bacalaureat, Clasa XII-a, Chișinău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Corina Lungu, Viorica Bujor, Svetlana Vasilachi, Ana Novic, Vera Bălan, Caiet de exersare pentru formarea competențelor la istorie, Clasa a XII-a, Chișinău 2021.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276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924" w:hanging="924"/>
      </w:pPr>
      <w:rPr/>
    </w:lvl>
    <w:lvl w:ilvl="1">
      <w:start w:val="1"/>
      <w:numFmt w:val="decimal"/>
      <w:lvlText w:val="%1.%2."/>
      <w:lvlJc w:val="left"/>
      <w:pPr>
        <w:ind w:left="782" w:hanging="924"/>
      </w:pPr>
      <w:rPr/>
    </w:lvl>
    <w:lvl w:ilvl="2">
      <w:start w:val="1"/>
      <w:numFmt w:val="decimal"/>
      <w:lvlText w:val="%1.%2.%3."/>
      <w:lvlJc w:val="left"/>
      <w:pPr>
        <w:ind w:left="640" w:hanging="924"/>
      </w:pPr>
      <w:rPr/>
    </w:lvl>
    <w:lvl w:ilvl="3">
      <w:start w:val="1"/>
      <w:numFmt w:val="decimal"/>
      <w:lvlText w:val="%1.%2.%3.%4."/>
      <w:lvlJc w:val="left"/>
      <w:pPr>
        <w:ind w:left="498" w:hanging="924.0000000000001"/>
      </w:pPr>
      <w:rPr/>
    </w:lvl>
    <w:lvl w:ilvl="4">
      <w:start w:val="1"/>
      <w:numFmt w:val="decimal"/>
      <w:lvlText w:val="%1.%2.%3.%4.%5."/>
      <w:lvlJc w:val="left"/>
      <w:pPr>
        <w:ind w:left="512" w:hanging="1080"/>
      </w:pPr>
      <w:rPr/>
    </w:lvl>
    <w:lvl w:ilvl="5">
      <w:start w:val="1"/>
      <w:numFmt w:val="decimal"/>
      <w:lvlText w:val="%1.%2.%3.%4.%5.%6."/>
      <w:lvlJc w:val="left"/>
      <w:pPr>
        <w:ind w:left="370" w:hanging="1080"/>
      </w:pPr>
      <w:rPr/>
    </w:lvl>
    <w:lvl w:ilvl="6">
      <w:start w:val="1"/>
      <w:numFmt w:val="decimal"/>
      <w:lvlText w:val="%1.%2.%3.%4.%5.%6.%7."/>
      <w:lvlJc w:val="left"/>
      <w:pPr>
        <w:ind w:left="588" w:hanging="1440"/>
      </w:pPr>
      <w:rPr/>
    </w:lvl>
    <w:lvl w:ilvl="7">
      <w:start w:val="1"/>
      <w:numFmt w:val="decimal"/>
      <w:lvlText w:val="%1.%2.%3.%4.%5.%6.%7.%8."/>
      <w:lvlJc w:val="left"/>
      <w:pPr>
        <w:ind w:left="446" w:hanging="1440"/>
      </w:pPr>
      <w:rPr/>
    </w:lvl>
    <w:lvl w:ilvl="8">
      <w:start w:val="1"/>
      <w:numFmt w:val="decimal"/>
      <w:lvlText w:val="%1.%2.%3.%4.%5.%6.%7.%8.%9."/>
      <w:lvlJc w:val="left"/>
      <w:pPr>
        <w:ind w:left="664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ctice.md:8095/public/download.php?id=621" TargetMode="External"/><Relationship Id="rId9" Type="http://schemas.openxmlformats.org/officeDocument/2006/relationships/hyperlink" Target="https://youtu.be/pCPBK3JLYpk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